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DD" w:rsidRDefault="00177024" w:rsidP="00177024">
      <w:pPr>
        <w:widowControl w:val="0"/>
        <w:tabs>
          <w:tab w:val="left" w:pos="280"/>
        </w:tabs>
        <w:jc w:val="center"/>
        <w:rPr>
          <w:bCs/>
          <w:color w:val="000000"/>
          <w:sz w:val="56"/>
          <w:szCs w:val="56"/>
        </w:rPr>
      </w:pPr>
      <w:r w:rsidRPr="00177024">
        <w:rPr>
          <w:rFonts w:ascii="Arial" w:hAnsi="Arial" w:cs="Arial"/>
          <w:b/>
          <w:color w:val="162136"/>
          <w:shd w:val="clear" w:color="auto" w:fill="F4F5F8"/>
        </w:rPr>
        <w:t>Программа долгосрочных сбережений граждан: как она устроена и кто может участвовать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АВТОР</w:t>
      </w:r>
      <w:r w:rsidRPr="00177024">
        <w:rPr>
          <w:rFonts w:ascii="Arial" w:hAnsi="Arial" w:cs="Arial"/>
          <w:color w:val="162136"/>
        </w:rPr>
        <w:t xml:space="preserve"> </w:t>
      </w:r>
      <w:r w:rsidRPr="00177024">
        <w:rPr>
          <w:rFonts w:ascii="Arial" w:hAnsi="Arial" w:cs="Arial"/>
          <w:color w:val="162136"/>
          <w:shd w:val="clear" w:color="auto" w:fill="F4F5F8"/>
        </w:rPr>
        <w:t>Мила Васильева</w:t>
      </w:r>
      <w:r w:rsidRPr="00177024">
        <w:rPr>
          <w:rFonts w:ascii="Arial" w:hAnsi="Arial" w:cs="Arial"/>
          <w:color w:val="162136"/>
        </w:rPr>
        <w:t xml:space="preserve"> </w:t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автор статей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Банки.ру</w:t>
      </w:r>
      <w:proofErr w:type="spellEnd"/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ИСТОЧНИК</w:t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 </w:t>
      </w:r>
      <w:r w:rsidRPr="00177024">
        <w:rPr>
          <w:rFonts w:ascii="Arial" w:hAnsi="Arial" w:cs="Arial"/>
          <w:color w:val="162136"/>
        </w:rPr>
        <w:t xml:space="preserve"> </w:t>
      </w:r>
      <w:r w:rsidRPr="00177024">
        <w:rPr>
          <w:rFonts w:ascii="Arial" w:hAnsi="Arial" w:cs="Arial"/>
          <w:color w:val="162136"/>
          <w:shd w:val="clear" w:color="auto" w:fill="F4F5F8"/>
        </w:rPr>
        <w:t>Banki.ru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ТЕМЫ</w:t>
      </w:r>
      <w:proofErr w:type="gramStart"/>
      <w:r w:rsidRPr="00177024">
        <w:rPr>
          <w:rFonts w:ascii="Arial" w:hAnsi="Arial" w:cs="Arial"/>
          <w:color w:val="162136"/>
        </w:rPr>
        <w:t xml:space="preserve"> </w:t>
      </w:r>
      <w:r w:rsidRPr="00177024">
        <w:rPr>
          <w:rFonts w:ascii="Arial" w:hAnsi="Arial" w:cs="Arial"/>
          <w:color w:val="162136"/>
          <w:shd w:val="clear" w:color="auto" w:fill="F4F5F8"/>
        </w:rPr>
        <w:t>К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>ак грамотно копить деньги в 2024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​</w:t>
      </w:r>
      <w:bookmarkStart w:id="0" w:name="_GoBack"/>
      <w:bookmarkEnd w:id="0"/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С 1 января 2024 года в России начала действовать программа долгосрочных сбережений.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Разбираемся, что позволяет новая программа, в чем ее особенности и каким может быть доход от инвестиций в рамках нее.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Что такое программа долгосрочных сбережений граждан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Программа долгосрочных сбережений граждан (ПДС) — это добровольный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накопительно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-сберегательный продукт с участием государства. Инструмент предусматривает активное самостоятельное участие граждан в накоплении 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капитала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 xml:space="preserve"> как за счет личных средств, так и за счет средств пенсионных накоплений.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Закон о программе долгосрочных сбережений был принят летом 2023 года. Инициатором выступило правительство РФ, а основными авторами стали Минфин и Банк России.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Закон вступил в силу 1 января 2024 года, за исключением отдельных положений, для которых установлены особые сроки.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Как будет устроена программа долгосрочных 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сбережений</w:t>
      </w:r>
      <w:proofErr w:type="gramEnd"/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Программа предполагает, что государство создает условия для формирования долгосрочных сбережений.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Суть программы: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Участник программы осуществляет в рамках ПДС добровольные взносы, а оператор программы (негосударственный пенсионный фонд, НПФ) инвестирует их, тем самым обеспечивая доходность вложений.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Гражданин может копить средства за счет добровольных взносов, а также перевести в программу ранее сформированные пенсионные накопления.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Государство обязано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софинансировать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накопления граждан в рамках ПДС за счет средств Фонда национального благосостояния (ФНБ) и резервов Социального фонда России (СФР, ранее это был ПФР).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Минимальный срок участия в программе составляет 15 лет.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lastRenderedPageBreak/>
        <w:br/>
      </w:r>
      <w:r w:rsidRPr="00177024">
        <w:rPr>
          <w:rFonts w:ascii="Arial" w:hAnsi="Arial" w:cs="Arial"/>
          <w:color w:val="162136"/>
          <w:shd w:val="clear" w:color="auto" w:fill="F4F5F8"/>
        </w:rPr>
        <w:t>Для тех, кто не хочет ждать долго</w:t>
      </w:r>
      <w:proofErr w:type="gramStart"/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 Е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>сли вы хотите получать доходы быстрее и чаще, вы можете открыть вклад без посещения офиса банка на срок от трех месяцев со ставкой до 17% годовых.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 Здесь можно посмотреть актуальные предложения.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Софинансирование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от государства получат граждане, заключившие в 2024–2026 годах договор долгосрочных сбережений с НПФ и оплатившие взносы на сумму не менее 2 000 рублей в год.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По закону дополнительная финансовая поддержка предусмотрена в течение трех лет. В дальнейшем этот срок может быть продлен по решению правительства.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Максимально возможный объем участия государства в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софинансировании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сбережений граждан составляет 36 000 рублей в год.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В рамках ПДС предусмотрены три формулы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в зависимости от дохода гражданина: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При среднемесячном доходе гражданина в размере не более 80 000 рублей за каждый вложенный в рамках ПДС рубль государство внесет на его счет еще 1 рубль. Таким образом, чтобы получить от государства 36 000 рублей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>, необходимо в течение года внести средства на ту же сумму, или 3 000 рублей в месяц.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При доходе гражданина от 80 000 до 150 000 рублей в месяц объем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государства составит 50 копеек на 1 рубль. Для получения доплаты в 36 000 рублей в этом случае им понадобится вложить в рамках ПДС в течение года 72 000 рублей, или 6 000 рублей в месяц.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При доходе гражданина более 150 000 рублей в месяц объем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составит 25 копеек на 1 рубль. То есть для получения максимальной доплаты нужно вложить в течение года 144 000 рублей (12 000 рублей в месяц).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Государство также гарантирует участникам программы ряд иных стимулов: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страхование внесенных гражданами средств в общем объеме до 2,8 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млн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 xml:space="preserve"> рублей (по сравнению с 1,4 млн рублей в системе страхования вкладов);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налоговый вычет в размере до 52 000 рублей ежегодно при уплате взносов на сумму до 400 000 рублей в год (13% от суммы взносов);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lastRenderedPageBreak/>
        <w:t>возможность забрать средства досрочно при наступлении «особых жизненных ситуаций».</w:t>
      </w:r>
      <w:r w:rsidRPr="00177024">
        <w:rPr>
          <w:rFonts w:ascii="Arial" w:hAnsi="Arial" w:cs="Arial"/>
          <w:color w:val="162136"/>
        </w:rPr>
        <w:br/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Обязательна ли новая программа для населения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Участие граждан в программе долгосрочных сбережений предполагается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 xml:space="preserve"> только на добровольной основе, то есть участвовать в ней необязательно.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Для участия в программе гражданин должен заключить договор долгосрочных сбережений с НПФ. Закон о ПДС также предусматривает возможность заключения договора долгосрочных сбережений юридическими или физическими лицами в пользу третьих лиц.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Конверты в Сбербанке: что это такое и как их использовать правильно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ТЕМА ДНЯ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Конверты в Сбербанке: что это такое и как их использовать правильно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22.01.2024 19:30</w:t>
      </w:r>
      <w:proofErr w:type="gramStart"/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>редполагается, что формирование гражданами добровольных долгосрочных сбережений позволит им в будущем получать дополнительный доход или обеспечить финансовые ресурсы для других целей (например, оплаты дорогостоящих видов лечения).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По оценке Банка России, принять участие в программе могут порядка 30 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млн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 xml:space="preserve"> человек. По оценке Сбербанка, до конца 2024 года в программу могут вступить до 1,5 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млн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 xml:space="preserve"> человек.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Как принять участие в ПДС</w:t>
      </w:r>
      <w:proofErr w:type="gramStart"/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>ринять участие в программе долгосрочных сбережений может любой гражданин России возрастом от 18 лет. Предельный возраст для вступления в программу законом не установлен.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Копить средства в рамках ПДС можно и в пользу третьих лиц — например, детей. Накопленные в рамках программы денежные средства также будут наследоваться в полном объеме.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Для участия в ПДС гражданин должен выбрать одного или нескольких операторов — НПФ, которые будут управлять его 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средствами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 xml:space="preserve"> и инвестировать их. Реестр лицензий НПФ можно найти на сайте ЦБ. Сейчас в России работают 37 негосударственных пенсионных фондов.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После этого необходимо заключить специальный договор долгосрочных сбережений и совершать добровольные взносы.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В качестве добровольных взносов на счет в рамках ПДС можно перевести пенсионные накопления, сформированные у граждан, </w:t>
      </w:r>
      <w:r w:rsidRPr="00177024">
        <w:rPr>
          <w:rFonts w:ascii="Arial" w:hAnsi="Arial" w:cs="Arial"/>
          <w:color w:val="162136"/>
          <w:shd w:val="clear" w:color="auto" w:fill="F4F5F8"/>
        </w:rPr>
        <w:lastRenderedPageBreak/>
        <w:t>работавших в 2002–2014 годах. Тогда пенсионные отчисления работодателей в размере 6% от заработной платы работников перечислялись на формирование накопительной пенсии. В 2014 году был принят закон о «заморозке» пенсионных накоплений. Узнать наличие и размер пенсионных накоплений можно в одном из отделений СФР или на его официальном сайте.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Договор долгосрочных сбережений заключается на срок не менее 15 лет. Величину первого взноса, а также размер и периодичность последующих взносов участник программы может определить самостоятельно. Количество договоров долгосрочных сбережений для одного гражданина по закону не ограничено.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Куда будут инвестироваться накопления</w:t>
      </w:r>
      <w:proofErr w:type="gramStart"/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>редполагается, что НПФ будут инвестировать средства граждан «на принципах доходности и безубыточности», то есть в консервативные финансовые инструменты.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К таким инструментам относятся: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облигации федерального займа (ОФЗ);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инфраструктурные облигации;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корпоративные облигации российских компаний;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другие ценные бумаги.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В законе не определен перечень инструментов, в которые НПФ могут инвестировать денежные средства, в том числе нет ограничений на вложения в иностранные инструменты. При этом все инвестиции в рамках ПДС будут осуществляться под контролем Банка России. По действующим правилам НПФ не могут вкладывать более 10% сре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дств кл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 xml:space="preserve">иентов в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высокорискованные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инструменты.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Здесь вы можете изучить доходность ОФЗ, тут — почитать о том, как работают облигации.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Исходя из регуляторных ограничений и требований, НПФ преимущественно вкладываются в максимально надежные и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низкорисковые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инструменты, прежде всего в государственные облигации и облигации крупнейших надежных эмитентов (в основном госкомпаний), поясняет руководитель Аналитического центра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Банки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.р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>у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Дмитрий Хмелев.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По данным ЦБ, по состоянию на III квартал 2023 года на облигации приходилось более 80% совокупного портфеля пенсионных накоплений НПФ, на акции — всего 6%. В пенсионных резервах (средства программ негосударственного пенсионного обеспечения) </w:t>
      </w:r>
      <w:r w:rsidRPr="00177024">
        <w:rPr>
          <w:rFonts w:ascii="Arial" w:hAnsi="Arial" w:cs="Arial"/>
          <w:color w:val="162136"/>
          <w:shd w:val="clear" w:color="auto" w:fill="F4F5F8"/>
        </w:rPr>
        <w:lastRenderedPageBreak/>
        <w:t>доля акций традиционно выше — 11%, но основные инструменты те же — корпоративные и государственные облигации.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В рамках ПДС граждане имеют возможность сменить НПФ, в 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котором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 xml:space="preserve"> осуществляется формирование его долгосрочных сбережений. НПФ должен обеспечить сохранение сформированных сбережений в результате инвестирования средств участника программы. Менять оператора при этом можно только один раз в пять лет.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Каким может быть доход от инвестиций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Первостепенная задача НПФ — уберечь деньги от инфляции и сохранить их покупательную способность, отмечает Хмелев.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По данным ЦБ, за девять месяцев 2023 года средневзвешенная доходность пенсионных накоплений, находящихся в управлении в НПФ, до вычета вознаграждения фонда составила 8,1% в годовом выражении. По оценке Росстата, инфляция в России в январе — сентябре составила 4,6%. Таким образом, реальная средневзвешенная доходность составила 3,5%.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В 2022 году средневзвешенная доходность составила 5,1% при инфляции в 11,94%, то есть реальная средневзвешенная доходность была отрицательной (–6,84%).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Узнать и сравнить доходность различных НПФ можно на сайте ЦБ.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При этом важно понимать, что пенсионные средства — это «длинные деньги», поэтому оценивать результаты инвестиций целесообразно за продолжительный период времени, от 5 лет и более.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«С основной своей целью — сохранить покупательную способность средств и уберечь их от инфляции — НПФ чаще всего справляются. Но говорить о какой-то высокой доходности, значительно превышающей инфляцию, к сожалению, пока не приходится», — отмечает Хмелев.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В случае ПДС доходность может быть выше, чем в случае простого управления НПФ, за счет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инвестиций государством. Вложенные гражданами средства на сумму 2,8 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млн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 xml:space="preserve"> рублей при этом застрахованы в Агентстве по страхованию вкладов (АСВ), что снижает риски получения убытка.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Оценить примерный размер выплат по ПДС можно с помощью специального калькулятора.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lastRenderedPageBreak/>
        <w:t>Можно ли досрочно забрать деньги из ПДС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Право на получение выплат в рамках ПДС будут иметь граждане, участвовавшие в программе не менее 15 лет или достигшие возраста 55 лет (женщины) и 60 лет (мужчины).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По выбору участника программы периодические выплаты могут быть пожизненными или срочными (на срок не менее 10 лет). В том случае, если ежемесячная пожизненная выплата будет ниже 10% официального прожиточного минимума пенсионера, предусмотрена возможность единовременной выплаты.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При этом для граждан предусмотрена возможность забрать средства досрочно без потери накопленного дохода при наступлении «особых жизненных ситуаций». К таким ситуациям отнесены оплата дорогостоящего лечения участника программы (перечень видов лечения утверждается правительством) и потеря кормильца.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В иных случаях досрочно получить пенсионные накопления и сумму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от государства нельзя. Дополнительные взносы можно забрать в любой момент, но при досрочной выплате полученная сумма может оказаться меньше внесенной – это зависит от условий договора с НПФ.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В чем отличие ПДС от индивидуальных инвестиционных счетов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ПДС и индивидуальный инвестиционный счет (ИИС) — совершенно разные инструменты для инвестирования.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Ключевое отличие ПДС от ИИС состоит в том, что инвестор, имеющий ИИС, может самостоятельно распоряжаться своим капиталом на счете, определяя, во что вложить ту или иную часть денежных средств. В ПДС все решения принимает оператор программы, то есть НПФ.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ИИС не предполагает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вложений государством и страхования накоплений. 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Кроме того, ПДС ориентирована на долгосрочные инвестиции, а ИИС в первую очередь на среднесрочные.</w:t>
      </w:r>
      <w:proofErr w:type="gramEnd"/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Фактически единственное сходство ПДС и ИИС — возможность получения налогового вычета на сумму до 52 000 рублей в год (при зачислении на счет 400 000 рублей).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Преимущества и недостатки ПДС для граждан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Программа долгосрочных сбережений имеет свои плюсы и минусы: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lastRenderedPageBreak/>
        <w:t>К основным плюсам ПДС можно отнести следующие особенности.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proofErr w:type="spellStart"/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C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>офинансирование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вложений со стороны государства (сумма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зависит от дохода участника ПДС).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Возможность перевести на счет в рамках ПДС пенсионные накопления, сформированные в 2002–2014 годах.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Налоговый вычет в размере до 52 000 рублей в год.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Страхование государством внесенных средств в объеме 2,8 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млн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 xml:space="preserve"> рублей.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К основным минусам ПДС можно отнести следующие особенности.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Невысокая доходность НПФ. На длительных горизонтах НПФ показывают доходность на уровне инфляции, отмечает Хмелев. То есть сохранить покупательную способность накоплений они позволяют, но в большинстве случаев не более того.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Длительный срок договора (от 15 лет).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Отсутствие возможности самостоятельно определять состав инвестиционного портфеля.</w:t>
      </w:r>
      <w:r w:rsidRPr="00177024">
        <w:rPr>
          <w:rFonts w:ascii="Arial" w:hAnsi="Arial" w:cs="Arial"/>
          <w:color w:val="162136"/>
        </w:rPr>
        <w:br/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Софинансирование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от государства в настоящее время предусмотрено только в течение трех лет.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Хмелев также в числе недостатков ПДС для привлечения сре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дств гр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>аждан называет общее недоверие населения к пенсионной системе. Чтобы изменить этот тренд, необходимо время, считает он.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Программа долгосрочных сбережений: главное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Программа долгосрочных сбережений граждан (ПДС) — это добровольный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накопительно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-сберегательный продукт для граждан с участием государства. Инструмент предусматривает активное самостоятельное участие граждан в накоплении 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капитала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 xml:space="preserve"> как за счет личных средств граждан, так и за счет средств пенсионных накоплений.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Государство обязано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софинансировать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накопления граждан в рамках ПДС.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Софинансирование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получат граждане, заключившие в 2024–2026 годах договор долгосрочных сбережений с НПФ и оплатившие взносы на сумму не менее 2 000 рублей в год. Дополнительная финансовая поддержка предусмотрена в течение трех лет (в дальнейшем этот срок может быть продлен).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Максимально возможный объем участия государства в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софинансировании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сбережений составляет 36 000 рублей в год. В рамках ПДС предусмотрены три формулы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софинансирования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в зависимости от дохода гражданина.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Государство также гарантирует участникам программы страхование внесенных средств в объеме до 2,8 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млн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 xml:space="preserve"> рублей, налоговый вычет в размере до 52 000 рублей в год при уплате взносов на сумму до 400 000 рублей в год и возможность забрать средства досрочно при наступлении «особых жизненных ситуаций» (оплата дорогостоящего </w:t>
      </w:r>
      <w:r w:rsidRPr="00177024">
        <w:rPr>
          <w:rFonts w:ascii="Arial" w:hAnsi="Arial" w:cs="Arial"/>
          <w:color w:val="162136"/>
          <w:shd w:val="clear" w:color="auto" w:fill="F4F5F8"/>
        </w:rPr>
        <w:lastRenderedPageBreak/>
        <w:t>лечения и потеря кормильца).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Участие граждан в программе долгосрочных сбережений предполагается только на добровольной основе. Принять участие в программе долгосрочных сбережений может любой гражданин России возрастом от 18 лет. Копить средства в рамках ПДС можно и в пользу третьих лиц — например, детей. Накопленные в рамках программы денежные средства будут наследоваться в полном объеме.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Для участия в ПДС гражданин должен выбрать одного или нескольких операторов — НПФ, которые будут управлять его 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средствами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 xml:space="preserve"> и инвестировать их. После этого необходимо заключить специальный договор долгосрочных сбережений и осуществлять добровольные взносы. Величину и периодичность взносов участник программы может определить самостоятельно. При этом предусмотрена возможность смены НПФ, но не чаще чем раз в пять лет.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Предполагается, что НПФ будут инвестировать средства граждан «на принципах доходности и безубыточности», то есть в консервативные финансовые инструменты. Как правило, НПФ вкладывают средства в государственные облигации и облигации крупнейших эмитентов, в основном госкомпаний.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Право на получение выплат в рамках ПДС будут иметь граждане, участвовавшие в программе не менее 15 лет или достигшие возраста 55 лет (женщины) и 60 лет (мужчины). По выбору участника программы периодические выплаты могут быть пожизненными или срочными (на срок не менее 10 лет). В том случае, если ежемесячная пожизненная выплата будет ниже 10% официального прожиточного минимума пенсионера, предусмотрена возможность единовременной выплаты.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К основным плюсам ПДС можно отнести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софинансирование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вложений государством, возможность инвестирования «замороженных» пенсионных накоплений, страхование внесенных средств и налоговый вычет.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Основной минус программы — невысокая доходность.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 xml:space="preserve">С помощью сервиса </w:t>
      </w:r>
      <w:proofErr w:type="spellStart"/>
      <w:r w:rsidRPr="00177024">
        <w:rPr>
          <w:rFonts w:ascii="Arial" w:hAnsi="Arial" w:cs="Arial"/>
          <w:color w:val="162136"/>
          <w:shd w:val="clear" w:color="auto" w:fill="F4F5F8"/>
        </w:rPr>
        <w:t>Банки</w:t>
      </w:r>
      <w:proofErr w:type="gramStart"/>
      <w:r w:rsidRPr="00177024">
        <w:rPr>
          <w:rFonts w:ascii="Arial" w:hAnsi="Arial" w:cs="Arial"/>
          <w:color w:val="162136"/>
          <w:shd w:val="clear" w:color="auto" w:fill="F4F5F8"/>
        </w:rPr>
        <w:t>.р</w:t>
      </w:r>
      <w:proofErr w:type="gramEnd"/>
      <w:r w:rsidRPr="00177024">
        <w:rPr>
          <w:rFonts w:ascii="Arial" w:hAnsi="Arial" w:cs="Arial"/>
          <w:color w:val="162136"/>
          <w:shd w:val="clear" w:color="auto" w:fill="F4F5F8"/>
        </w:rPr>
        <w:t>у</w:t>
      </w:r>
      <w:proofErr w:type="spellEnd"/>
      <w:r w:rsidRPr="00177024">
        <w:rPr>
          <w:rFonts w:ascii="Arial" w:hAnsi="Arial" w:cs="Arial"/>
          <w:color w:val="162136"/>
          <w:shd w:val="clear" w:color="auto" w:fill="F4F5F8"/>
        </w:rPr>
        <w:t xml:space="preserve"> вы можете больше изучить тему инвестиций, выбрать подходящего брокера, а также узнать ситуацию на рынке металлов, валюты и недвижимости.</w:t>
      </w:r>
      <w:r w:rsidRPr="00177024">
        <w:rPr>
          <w:rFonts w:ascii="Arial" w:hAnsi="Arial" w:cs="Arial"/>
          <w:color w:val="162136"/>
        </w:rPr>
        <w:br/>
      </w:r>
      <w:r w:rsidRPr="00177024">
        <w:rPr>
          <w:rFonts w:ascii="Arial" w:hAnsi="Arial" w:cs="Arial"/>
          <w:color w:val="162136"/>
          <w:shd w:val="clear" w:color="auto" w:fill="F4F5F8"/>
        </w:rPr>
        <w:t>Подробнее на сайте Banki.ru https://www.banki.ru/news/daytheme/?id=10998355</w:t>
      </w:r>
    </w:p>
    <w:p w:rsidR="00AF72DD" w:rsidRPr="00AF72DD" w:rsidRDefault="00AF72DD">
      <w:pPr>
        <w:widowControl w:val="0"/>
        <w:tabs>
          <w:tab w:val="left" w:pos="280"/>
        </w:tabs>
        <w:jc w:val="center"/>
        <w:rPr>
          <w:bCs/>
          <w:color w:val="000000"/>
          <w:sz w:val="36"/>
          <w:szCs w:val="36"/>
        </w:rPr>
      </w:pPr>
    </w:p>
    <w:sectPr w:rsidR="00AF72DD" w:rsidRPr="00AF72DD" w:rsidSect="000772B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64"/>
        </w:tabs>
        <w:ind w:left="695" w:firstLine="709"/>
      </w:pPr>
      <w:rPr>
        <w:rFonts w:ascii="Symbol" w:hAnsi="Symbol" w:cs="Symbol" w:hint="default"/>
        <w:color w:val="000000"/>
        <w:sz w:val="20"/>
        <w:szCs w:val="25"/>
      </w:rPr>
    </w:lvl>
  </w:abstractNum>
  <w:abstractNum w:abstractNumId="1">
    <w:nsid w:val="05B9453C"/>
    <w:multiLevelType w:val="multilevel"/>
    <w:tmpl w:val="A324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B1D49"/>
    <w:multiLevelType w:val="multilevel"/>
    <w:tmpl w:val="4306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A6991"/>
    <w:multiLevelType w:val="multilevel"/>
    <w:tmpl w:val="44C0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123358"/>
    <w:multiLevelType w:val="multilevel"/>
    <w:tmpl w:val="007A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34610"/>
    <w:multiLevelType w:val="hybridMultilevel"/>
    <w:tmpl w:val="3648F85E"/>
    <w:lvl w:ilvl="0" w:tplc="D96805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5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E3DEA"/>
    <w:multiLevelType w:val="multilevel"/>
    <w:tmpl w:val="F438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2A3D6E"/>
    <w:multiLevelType w:val="multilevel"/>
    <w:tmpl w:val="D32A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9E0774"/>
    <w:multiLevelType w:val="multilevel"/>
    <w:tmpl w:val="40DC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CB5A0B"/>
    <w:multiLevelType w:val="multilevel"/>
    <w:tmpl w:val="323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5F36B5"/>
    <w:multiLevelType w:val="multilevel"/>
    <w:tmpl w:val="FC2A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974AD"/>
    <w:multiLevelType w:val="hybridMultilevel"/>
    <w:tmpl w:val="6DB6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B5BF2"/>
    <w:multiLevelType w:val="multilevel"/>
    <w:tmpl w:val="2D92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68F66E1"/>
    <w:multiLevelType w:val="hybridMultilevel"/>
    <w:tmpl w:val="9E06BBE4"/>
    <w:lvl w:ilvl="0" w:tplc="E8D48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E27BC3"/>
    <w:multiLevelType w:val="multilevel"/>
    <w:tmpl w:val="6C6C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3B7F6F"/>
    <w:multiLevelType w:val="multilevel"/>
    <w:tmpl w:val="2FB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6A5428"/>
    <w:multiLevelType w:val="multilevel"/>
    <w:tmpl w:val="ADCA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4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14"/>
  </w:num>
  <w:num w:numId="12">
    <w:abstractNumId w:val="16"/>
  </w:num>
  <w:num w:numId="13">
    <w:abstractNumId w:val="3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C3"/>
    <w:rsid w:val="00027595"/>
    <w:rsid w:val="00032A9A"/>
    <w:rsid w:val="00034AAE"/>
    <w:rsid w:val="000772B2"/>
    <w:rsid w:val="000928AB"/>
    <w:rsid w:val="000A41DF"/>
    <w:rsid w:val="000C0924"/>
    <w:rsid w:val="000E2D49"/>
    <w:rsid w:val="00130BB3"/>
    <w:rsid w:val="00141997"/>
    <w:rsid w:val="001551E4"/>
    <w:rsid w:val="00177024"/>
    <w:rsid w:val="001A1052"/>
    <w:rsid w:val="001A7F99"/>
    <w:rsid w:val="00227B47"/>
    <w:rsid w:val="00280C43"/>
    <w:rsid w:val="0029449D"/>
    <w:rsid w:val="002C6BFD"/>
    <w:rsid w:val="002F486B"/>
    <w:rsid w:val="00365634"/>
    <w:rsid w:val="003A17BB"/>
    <w:rsid w:val="003D0FB8"/>
    <w:rsid w:val="003E15C7"/>
    <w:rsid w:val="004234BA"/>
    <w:rsid w:val="00433CF7"/>
    <w:rsid w:val="00486F50"/>
    <w:rsid w:val="004B0B8C"/>
    <w:rsid w:val="004F5985"/>
    <w:rsid w:val="00513826"/>
    <w:rsid w:val="00516632"/>
    <w:rsid w:val="00523F81"/>
    <w:rsid w:val="00543BFF"/>
    <w:rsid w:val="005445B4"/>
    <w:rsid w:val="00584990"/>
    <w:rsid w:val="005B21C3"/>
    <w:rsid w:val="005E3714"/>
    <w:rsid w:val="006044B9"/>
    <w:rsid w:val="00606932"/>
    <w:rsid w:val="0060694B"/>
    <w:rsid w:val="00612C0B"/>
    <w:rsid w:val="00613528"/>
    <w:rsid w:val="00616E24"/>
    <w:rsid w:val="00621F48"/>
    <w:rsid w:val="00671591"/>
    <w:rsid w:val="0067583F"/>
    <w:rsid w:val="006B6055"/>
    <w:rsid w:val="00732094"/>
    <w:rsid w:val="00744FE9"/>
    <w:rsid w:val="00761E85"/>
    <w:rsid w:val="007820B4"/>
    <w:rsid w:val="00795803"/>
    <w:rsid w:val="007D6F84"/>
    <w:rsid w:val="007F6265"/>
    <w:rsid w:val="00803602"/>
    <w:rsid w:val="008169F6"/>
    <w:rsid w:val="0083593D"/>
    <w:rsid w:val="00861CC9"/>
    <w:rsid w:val="00875B2D"/>
    <w:rsid w:val="008C5FBA"/>
    <w:rsid w:val="008D7D01"/>
    <w:rsid w:val="00936745"/>
    <w:rsid w:val="00937EF2"/>
    <w:rsid w:val="00961D68"/>
    <w:rsid w:val="00963231"/>
    <w:rsid w:val="00967B5C"/>
    <w:rsid w:val="009707C5"/>
    <w:rsid w:val="009835AC"/>
    <w:rsid w:val="009E28C0"/>
    <w:rsid w:val="009E4A9B"/>
    <w:rsid w:val="009E708A"/>
    <w:rsid w:val="00A13640"/>
    <w:rsid w:val="00A25AFD"/>
    <w:rsid w:val="00A3628E"/>
    <w:rsid w:val="00A504FA"/>
    <w:rsid w:val="00A86139"/>
    <w:rsid w:val="00AA598E"/>
    <w:rsid w:val="00AD16B9"/>
    <w:rsid w:val="00AD58AD"/>
    <w:rsid w:val="00AE4A48"/>
    <w:rsid w:val="00AF72DD"/>
    <w:rsid w:val="00B420FA"/>
    <w:rsid w:val="00B91C8B"/>
    <w:rsid w:val="00BD299F"/>
    <w:rsid w:val="00BD4153"/>
    <w:rsid w:val="00BF3EEE"/>
    <w:rsid w:val="00C32719"/>
    <w:rsid w:val="00C36BF9"/>
    <w:rsid w:val="00C63117"/>
    <w:rsid w:val="00D164DC"/>
    <w:rsid w:val="00D25BD4"/>
    <w:rsid w:val="00D8074F"/>
    <w:rsid w:val="00DB3320"/>
    <w:rsid w:val="00DC6C32"/>
    <w:rsid w:val="00E11733"/>
    <w:rsid w:val="00E14DCF"/>
    <w:rsid w:val="00E42C3B"/>
    <w:rsid w:val="00E451A7"/>
    <w:rsid w:val="00E66DEB"/>
    <w:rsid w:val="00E7147A"/>
    <w:rsid w:val="00E75033"/>
    <w:rsid w:val="00E924DA"/>
    <w:rsid w:val="00F071C1"/>
    <w:rsid w:val="00F5255E"/>
    <w:rsid w:val="00F76ABA"/>
    <w:rsid w:val="00F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cketheader">
    <w:name w:val="ticket__header"/>
    <w:basedOn w:val="a"/>
    <w:rsid w:val="001A1052"/>
    <w:pPr>
      <w:spacing w:before="100" w:beforeAutospacing="1" w:after="100" w:afterAutospacing="1"/>
    </w:pPr>
    <w:rPr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1052"/>
    <w:pPr>
      <w:spacing w:before="100" w:beforeAutospacing="1" w:after="100" w:afterAutospacing="1"/>
    </w:pPr>
    <w:rPr>
      <w:sz w:val="24"/>
      <w:lang w:eastAsia="ru-RU"/>
    </w:rPr>
  </w:style>
  <w:style w:type="paragraph" w:styleId="a4">
    <w:name w:val="List Paragraph"/>
    <w:basedOn w:val="a"/>
    <w:uiPriority w:val="34"/>
    <w:qFormat/>
    <w:rsid w:val="00280C4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32094"/>
    <w:rPr>
      <w:color w:val="0000FF"/>
      <w:u w:val="single"/>
    </w:rPr>
  </w:style>
  <w:style w:type="table" w:styleId="a6">
    <w:name w:val="Table Grid"/>
    <w:basedOn w:val="a1"/>
    <w:uiPriority w:val="59"/>
    <w:rsid w:val="0061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E7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071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76A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AB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cketheader">
    <w:name w:val="ticket__header"/>
    <w:basedOn w:val="a"/>
    <w:rsid w:val="001A1052"/>
    <w:pPr>
      <w:spacing w:before="100" w:beforeAutospacing="1" w:after="100" w:afterAutospacing="1"/>
    </w:pPr>
    <w:rPr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1052"/>
    <w:pPr>
      <w:spacing w:before="100" w:beforeAutospacing="1" w:after="100" w:afterAutospacing="1"/>
    </w:pPr>
    <w:rPr>
      <w:sz w:val="24"/>
      <w:lang w:eastAsia="ru-RU"/>
    </w:rPr>
  </w:style>
  <w:style w:type="paragraph" w:styleId="a4">
    <w:name w:val="List Paragraph"/>
    <w:basedOn w:val="a"/>
    <w:uiPriority w:val="34"/>
    <w:qFormat/>
    <w:rsid w:val="00280C4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32094"/>
    <w:rPr>
      <w:color w:val="0000FF"/>
      <w:u w:val="single"/>
    </w:rPr>
  </w:style>
  <w:style w:type="table" w:styleId="a6">
    <w:name w:val="Table Grid"/>
    <w:basedOn w:val="a1"/>
    <w:uiPriority w:val="59"/>
    <w:rsid w:val="0061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E7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071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76A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AB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3633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2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44467">
                              <w:marLeft w:val="0"/>
                              <w:marRight w:val="24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79622">
                              <w:marLeft w:val="0"/>
                              <w:marRight w:val="24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04942">
                              <w:marLeft w:val="0"/>
                              <w:marRight w:val="24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4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DFF3-244B-4A0D-9B18-B7373208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2024-11-27T08:01:00Z</cp:lastPrinted>
  <dcterms:created xsi:type="dcterms:W3CDTF">2024-07-18T06:51:00Z</dcterms:created>
  <dcterms:modified xsi:type="dcterms:W3CDTF">2024-12-02T06:39:00Z</dcterms:modified>
</cp:coreProperties>
</file>